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CF8C0D" w14:textId="77777777" w:rsidR="000D6F73" w:rsidRPr="00EF7AA0" w:rsidRDefault="00503948" w:rsidP="000D6F7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A05CF57" wp14:editId="7BF033D0">
                <wp:extent cx="5867400" cy="1158240"/>
                <wp:effectExtent l="0" t="0" r="19050" b="2286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58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C2B60" w14:textId="77777777" w:rsidR="00F30F9B" w:rsidRPr="00F30F9B" w:rsidRDefault="00F30F9B" w:rsidP="00503948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C8C071" w14:textId="77777777" w:rsidR="005A124E" w:rsidRPr="005A124E" w:rsidRDefault="00503948" w:rsidP="005A124E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5A124E">
                              <w:rPr>
                                <w:rFonts w:ascii="Calibri" w:eastAsia="Times New Roman" w:hAnsi="Calibri" w:cs="Calibri"/>
                                <w:b/>
                                <w:sz w:val="36"/>
                                <w:szCs w:val="36"/>
                              </w:rPr>
                              <w:t xml:space="preserve">Adult Detention Initiative </w:t>
                            </w:r>
                          </w:p>
                          <w:p w14:paraId="2C8B7C3A" w14:textId="77777777" w:rsidR="00204BCA" w:rsidRDefault="005A124E" w:rsidP="005A124E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5A124E">
                              <w:rPr>
                                <w:rFonts w:ascii="Calibri" w:eastAsia="Times New Roman" w:hAnsi="Calibri" w:cs="Calibri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F042A6">
                              <w:rPr>
                                <w:rFonts w:ascii="Calibri" w:eastAsia="Times New Roman" w:hAnsi="Calibri" w:cs="Calibri"/>
                                <w:b/>
                                <w:sz w:val="36"/>
                                <w:szCs w:val="36"/>
                              </w:rPr>
                              <w:t>ign and Release Warrant</w:t>
                            </w:r>
                          </w:p>
                          <w:p w14:paraId="7E299A5A" w14:textId="77777777" w:rsidR="005A124E" w:rsidRPr="005A124E" w:rsidRDefault="00204BCA" w:rsidP="005A124E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36"/>
                                <w:szCs w:val="36"/>
                              </w:rPr>
                              <w:t>Hennepin County Protocol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05CF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2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" fillcolor="#c6d9f1 [671]" strokeweight=".5pt">
                <v:textbox>
                  <w:txbxContent>
                    <w:p w14:paraId="0C6C2B60" w14:textId="77777777" w:rsidR="00F30F9B" w:rsidRPr="00F30F9B" w:rsidRDefault="00F30F9B" w:rsidP="00503948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sz w:val="16"/>
                          <w:szCs w:val="16"/>
                        </w:rPr>
                      </w:pPr>
                    </w:p>
                    <w:p w14:paraId="2CC8C071" w14:textId="77777777" w:rsidR="005A124E" w:rsidRPr="005A124E" w:rsidRDefault="00503948" w:rsidP="005A124E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sz w:val="36"/>
                          <w:szCs w:val="36"/>
                        </w:rPr>
                      </w:pPr>
                      <w:r w:rsidRPr="005A124E">
                        <w:rPr>
                          <w:rFonts w:ascii="Calibri" w:eastAsia="Times New Roman" w:hAnsi="Calibri" w:cs="Calibri"/>
                          <w:b/>
                          <w:sz w:val="36"/>
                          <w:szCs w:val="36"/>
                        </w:rPr>
                        <w:t xml:space="preserve">Adult Detention Initiative </w:t>
                      </w:r>
                    </w:p>
                    <w:p w14:paraId="2C8B7C3A" w14:textId="77777777" w:rsidR="00204BCA" w:rsidRDefault="005A124E" w:rsidP="005A124E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sz w:val="36"/>
                          <w:szCs w:val="36"/>
                        </w:rPr>
                      </w:pPr>
                      <w:r w:rsidRPr="005A124E">
                        <w:rPr>
                          <w:rFonts w:ascii="Calibri" w:eastAsia="Times New Roman" w:hAnsi="Calibri" w:cs="Calibri"/>
                          <w:b/>
                          <w:sz w:val="36"/>
                          <w:szCs w:val="36"/>
                        </w:rPr>
                        <w:t>S</w:t>
                      </w:r>
                      <w:r w:rsidR="00F042A6">
                        <w:rPr>
                          <w:rFonts w:ascii="Calibri" w:eastAsia="Times New Roman" w:hAnsi="Calibri" w:cs="Calibri"/>
                          <w:b/>
                          <w:sz w:val="36"/>
                          <w:szCs w:val="36"/>
                        </w:rPr>
                        <w:t>ign and Release Warrant</w:t>
                      </w:r>
                    </w:p>
                    <w:p w14:paraId="7E299A5A" w14:textId="77777777" w:rsidR="005A124E" w:rsidRPr="005A124E" w:rsidRDefault="00204BCA" w:rsidP="005A124E">
                      <w:pPr>
                        <w:jc w:val="center"/>
                        <w:rPr>
                          <w:rFonts w:ascii="Calibri" w:eastAsia="Times New Roman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36"/>
                          <w:szCs w:val="36"/>
                        </w:rPr>
                        <w:t>Hennepin County Protocol</w:t>
                      </w:r>
                      <w:r>
                        <w:rPr>
                          <w:rFonts w:ascii="Calibri" w:eastAsia="Times New Roman" w:hAnsi="Calibri" w:cs="Calibri"/>
                          <w:b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3CC183" w14:textId="77777777" w:rsidR="00D405B1" w:rsidRDefault="00D405B1" w:rsidP="000D6F73">
      <w:pPr>
        <w:jc w:val="center"/>
      </w:pPr>
    </w:p>
    <w:p w14:paraId="66D8AE75" w14:textId="77777777" w:rsidR="00C43175" w:rsidRPr="00C43175" w:rsidRDefault="00C43175" w:rsidP="00C43175">
      <w:pPr>
        <w:ind w:left="2070"/>
        <w:rPr>
          <w:sz w:val="24"/>
          <w:szCs w:val="24"/>
        </w:rPr>
      </w:pPr>
    </w:p>
    <w:p w14:paraId="21A99F9D" w14:textId="77777777" w:rsidR="008B0CFC" w:rsidRDefault="00204BCA" w:rsidP="008B0CFC">
      <w:pPr>
        <w:rPr>
          <w:sz w:val="24"/>
          <w:szCs w:val="24"/>
        </w:rPr>
      </w:pPr>
      <w:r>
        <w:rPr>
          <w:sz w:val="24"/>
          <w:szCs w:val="24"/>
        </w:rPr>
        <w:t>This protocol applies</w:t>
      </w:r>
      <w:r w:rsidR="005A124E">
        <w:rPr>
          <w:sz w:val="24"/>
          <w:szCs w:val="24"/>
        </w:rPr>
        <w:t xml:space="preserve"> to defendants who are sent a summons to appear on a </w:t>
      </w:r>
      <w:r w:rsidR="005A124E" w:rsidRPr="00A07D13">
        <w:rPr>
          <w:b/>
          <w:sz w:val="24"/>
          <w:szCs w:val="24"/>
          <w:u w:val="single"/>
        </w:rPr>
        <w:t>misdemeanor</w:t>
      </w:r>
      <w:r w:rsidR="005A124E">
        <w:rPr>
          <w:sz w:val="24"/>
          <w:szCs w:val="24"/>
        </w:rPr>
        <w:t xml:space="preserve"> </w:t>
      </w:r>
      <w:r w:rsidR="008A2B8B">
        <w:rPr>
          <w:sz w:val="24"/>
          <w:szCs w:val="24"/>
        </w:rPr>
        <w:t>case</w:t>
      </w:r>
      <w:r w:rsidR="00A510BA">
        <w:rPr>
          <w:sz w:val="24"/>
          <w:szCs w:val="24"/>
        </w:rPr>
        <w:t xml:space="preserve">, except for </w:t>
      </w:r>
      <w:r w:rsidR="00A510BA">
        <w:rPr>
          <w:sz w:val="24"/>
          <w:szCs w:val="24"/>
          <w:u w:val="single"/>
        </w:rPr>
        <w:t xml:space="preserve">domestic violence related </w:t>
      </w:r>
      <w:r w:rsidR="00A510BA" w:rsidRPr="00A510BA">
        <w:rPr>
          <w:sz w:val="24"/>
          <w:szCs w:val="24"/>
        </w:rPr>
        <w:t>offenses</w:t>
      </w:r>
      <w:r w:rsidR="00A510BA">
        <w:rPr>
          <w:sz w:val="24"/>
          <w:szCs w:val="24"/>
        </w:rPr>
        <w:t xml:space="preserve">, </w:t>
      </w:r>
      <w:r w:rsidRPr="00A510BA">
        <w:rPr>
          <w:sz w:val="24"/>
          <w:szCs w:val="24"/>
        </w:rPr>
        <w:t>in</w:t>
      </w:r>
      <w:r>
        <w:rPr>
          <w:sz w:val="24"/>
          <w:szCs w:val="24"/>
        </w:rPr>
        <w:t xml:space="preserve"> Hennepin County</w:t>
      </w:r>
      <w:r w:rsidR="008A2B8B">
        <w:rPr>
          <w:sz w:val="24"/>
          <w:szCs w:val="24"/>
        </w:rPr>
        <w:t xml:space="preserve">.  </w:t>
      </w:r>
      <w:r>
        <w:rPr>
          <w:sz w:val="24"/>
          <w:szCs w:val="24"/>
        </w:rPr>
        <w:t>This protocol applies</w:t>
      </w:r>
      <w:r w:rsidR="005A124E">
        <w:rPr>
          <w:sz w:val="24"/>
          <w:szCs w:val="24"/>
        </w:rPr>
        <w:t xml:space="preserve"> to those cases where it is the defendant’s true first appearance on the case.</w:t>
      </w:r>
    </w:p>
    <w:p w14:paraId="035D0D1A" w14:textId="77777777" w:rsidR="002E609F" w:rsidRDefault="002E609F" w:rsidP="00575F2B">
      <w:pPr>
        <w:textAlignment w:val="center"/>
        <w:rPr>
          <w:sz w:val="24"/>
          <w:szCs w:val="24"/>
        </w:rPr>
      </w:pPr>
    </w:p>
    <w:p w14:paraId="23CC415D" w14:textId="77777777" w:rsidR="005A124E" w:rsidRDefault="005A124E" w:rsidP="00575F2B">
      <w:pPr>
        <w:textAlignment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PROTOCOL:</w:t>
      </w:r>
    </w:p>
    <w:p w14:paraId="6DF458FC" w14:textId="77777777" w:rsidR="005A124E" w:rsidRDefault="005A124E" w:rsidP="00575F2B">
      <w:pPr>
        <w:textAlignment w:val="center"/>
        <w:rPr>
          <w:b/>
          <w:sz w:val="24"/>
          <w:szCs w:val="24"/>
          <w:u w:val="single"/>
        </w:rPr>
      </w:pPr>
    </w:p>
    <w:p w14:paraId="5206B155" w14:textId="77777777" w:rsidR="005A124E" w:rsidRDefault="005A124E" w:rsidP="005A124E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At the end of </w:t>
      </w:r>
      <w:r w:rsidR="008A2B8B">
        <w:rPr>
          <w:sz w:val="24"/>
          <w:szCs w:val="24"/>
        </w:rPr>
        <w:t>the arraignment c</w:t>
      </w:r>
      <w:r>
        <w:rPr>
          <w:sz w:val="24"/>
          <w:szCs w:val="24"/>
        </w:rPr>
        <w:t xml:space="preserve">alendar, the court clerk shall review all the </w:t>
      </w:r>
      <w:r w:rsidR="00A07D13">
        <w:rPr>
          <w:sz w:val="24"/>
          <w:szCs w:val="24"/>
        </w:rPr>
        <w:t xml:space="preserve">misdemeanor </w:t>
      </w:r>
      <w:r>
        <w:rPr>
          <w:sz w:val="24"/>
          <w:szCs w:val="24"/>
        </w:rPr>
        <w:t>cases where the defendant failed to appear.  If this was the first appearance on the case</w:t>
      </w:r>
      <w:r w:rsidR="008A2B8B">
        <w:rPr>
          <w:sz w:val="24"/>
          <w:szCs w:val="24"/>
        </w:rPr>
        <w:t>, the defendant was issued a summons to appear in court</w:t>
      </w:r>
      <w:r>
        <w:rPr>
          <w:sz w:val="24"/>
          <w:szCs w:val="24"/>
        </w:rPr>
        <w:t xml:space="preserve"> and the defendant did not appear, the clerk will issue a sign and release warrant.</w:t>
      </w:r>
    </w:p>
    <w:p w14:paraId="65CDF865" w14:textId="77777777" w:rsidR="005A124E" w:rsidRDefault="005A124E" w:rsidP="005A124E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The sign and release warrant will be a bench warrant, with a $0 amount of bail and a </w:t>
      </w:r>
      <w:r w:rsidR="00D40726">
        <w:rPr>
          <w:sz w:val="24"/>
          <w:szCs w:val="24"/>
        </w:rPr>
        <w:t xml:space="preserve">narrative </w:t>
      </w:r>
      <w:r>
        <w:rPr>
          <w:sz w:val="24"/>
          <w:szCs w:val="24"/>
        </w:rPr>
        <w:t xml:space="preserve">comment made in </w:t>
      </w:r>
      <w:proofErr w:type="spellStart"/>
      <w:r>
        <w:rPr>
          <w:sz w:val="24"/>
          <w:szCs w:val="24"/>
        </w:rPr>
        <w:t>MNCIS</w:t>
      </w:r>
      <w:proofErr w:type="spellEnd"/>
      <w:r>
        <w:rPr>
          <w:sz w:val="24"/>
          <w:szCs w:val="24"/>
        </w:rPr>
        <w:t xml:space="preserve"> that it is a sign and release warrant.</w:t>
      </w:r>
    </w:p>
    <w:p w14:paraId="29BF37D3" w14:textId="77777777" w:rsidR="005A124E" w:rsidRDefault="005A124E" w:rsidP="005A124E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When law enforcement encounters a person who has a </w:t>
      </w:r>
      <w:r w:rsidR="008A2B8B">
        <w:rPr>
          <w:sz w:val="24"/>
          <w:szCs w:val="24"/>
        </w:rPr>
        <w:t>warrant</w:t>
      </w:r>
      <w:r>
        <w:rPr>
          <w:sz w:val="24"/>
          <w:szCs w:val="24"/>
        </w:rPr>
        <w:t xml:space="preserve">, </w:t>
      </w:r>
      <w:r w:rsidR="00A22BEB">
        <w:rPr>
          <w:sz w:val="24"/>
          <w:szCs w:val="24"/>
        </w:rPr>
        <w:t>the officer</w:t>
      </w:r>
      <w:r>
        <w:rPr>
          <w:sz w:val="24"/>
          <w:szCs w:val="24"/>
        </w:rPr>
        <w:t xml:space="preserve"> will call </w:t>
      </w:r>
      <w:r w:rsidR="000847E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warrant office to see what type of warrant is in place.  </w:t>
      </w:r>
    </w:p>
    <w:p w14:paraId="27CD5A2B" w14:textId="699DAAD3" w:rsidR="008A2B8B" w:rsidRPr="00D50644" w:rsidRDefault="0085506D" w:rsidP="005A124E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 w:rsidRPr="00D50644">
        <w:rPr>
          <w:sz w:val="24"/>
          <w:szCs w:val="24"/>
        </w:rPr>
        <w:t xml:space="preserve">If the officer is told it is a sign and release warrant: </w:t>
      </w:r>
    </w:p>
    <w:p w14:paraId="0C08E629" w14:textId="30E6E473" w:rsidR="00545DD5" w:rsidRPr="00D50644" w:rsidRDefault="0085506D" w:rsidP="008A2B8B">
      <w:pPr>
        <w:pStyle w:val="ListParagraph"/>
        <w:numPr>
          <w:ilvl w:val="1"/>
          <w:numId w:val="33"/>
        </w:numPr>
        <w:textAlignment w:val="center"/>
        <w:rPr>
          <w:strike/>
          <w:sz w:val="24"/>
          <w:szCs w:val="24"/>
        </w:rPr>
      </w:pPr>
      <w:r w:rsidRPr="00D50644">
        <w:rPr>
          <w:sz w:val="24"/>
          <w:szCs w:val="24"/>
        </w:rPr>
        <w:t xml:space="preserve">The warrant office will provide the officer </w:t>
      </w:r>
      <w:r w:rsidR="00D50644">
        <w:rPr>
          <w:sz w:val="24"/>
          <w:szCs w:val="24"/>
        </w:rPr>
        <w:t>with a court date and location</w:t>
      </w:r>
    </w:p>
    <w:p w14:paraId="4C7271C2" w14:textId="21B4F1D6" w:rsidR="00192941" w:rsidRPr="00D50644" w:rsidRDefault="00545DD5" w:rsidP="008A2B8B">
      <w:pPr>
        <w:pStyle w:val="ListParagraph"/>
        <w:numPr>
          <w:ilvl w:val="1"/>
          <w:numId w:val="33"/>
        </w:numPr>
        <w:textAlignment w:val="center"/>
        <w:rPr>
          <w:strike/>
          <w:sz w:val="24"/>
          <w:szCs w:val="24"/>
        </w:rPr>
      </w:pPr>
      <w:r w:rsidRPr="00D50644">
        <w:rPr>
          <w:sz w:val="24"/>
          <w:szCs w:val="24"/>
        </w:rPr>
        <w:t xml:space="preserve">The officer </w:t>
      </w:r>
      <w:r w:rsidR="00452F93" w:rsidRPr="00D50644">
        <w:rPr>
          <w:sz w:val="24"/>
          <w:szCs w:val="24"/>
        </w:rPr>
        <w:t xml:space="preserve">will fill out the sign and release form with the defendant’s information and assigned court date and location. </w:t>
      </w:r>
    </w:p>
    <w:p w14:paraId="5D830886" w14:textId="5459B9A2" w:rsidR="005A124E" w:rsidRPr="00D50644" w:rsidRDefault="00452F93" w:rsidP="008A2B8B">
      <w:pPr>
        <w:pStyle w:val="ListParagraph"/>
        <w:numPr>
          <w:ilvl w:val="1"/>
          <w:numId w:val="33"/>
        </w:numPr>
        <w:textAlignment w:val="center"/>
        <w:rPr>
          <w:strike/>
          <w:sz w:val="24"/>
          <w:szCs w:val="24"/>
        </w:rPr>
      </w:pPr>
      <w:r w:rsidRPr="00D50644">
        <w:rPr>
          <w:sz w:val="24"/>
          <w:szCs w:val="24"/>
        </w:rPr>
        <w:t xml:space="preserve">The warrant office will then inactivate the warrant. </w:t>
      </w:r>
    </w:p>
    <w:p w14:paraId="1AD90FA5" w14:textId="65198850" w:rsidR="00204BCA" w:rsidRDefault="005A124E" w:rsidP="005A124E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>The defendant will</w:t>
      </w:r>
      <w:r w:rsidR="00204BCA">
        <w:rPr>
          <w:sz w:val="24"/>
          <w:szCs w:val="24"/>
        </w:rPr>
        <w:t xml:space="preserve"> be asked to</w:t>
      </w:r>
      <w:r>
        <w:rPr>
          <w:sz w:val="24"/>
          <w:szCs w:val="24"/>
        </w:rPr>
        <w:t xml:space="preserve"> sign </w:t>
      </w:r>
      <w:r w:rsidR="00D40726">
        <w:rPr>
          <w:sz w:val="24"/>
          <w:szCs w:val="24"/>
        </w:rPr>
        <w:t>the</w:t>
      </w:r>
      <w:r>
        <w:rPr>
          <w:sz w:val="24"/>
          <w:szCs w:val="24"/>
        </w:rPr>
        <w:t xml:space="preserve"> form</w:t>
      </w:r>
      <w:r w:rsidR="00204BCA">
        <w:rPr>
          <w:sz w:val="24"/>
          <w:szCs w:val="24"/>
        </w:rPr>
        <w:t>.</w:t>
      </w:r>
    </w:p>
    <w:p w14:paraId="1439F8B2" w14:textId="151D46A9" w:rsidR="005A124E" w:rsidRDefault="005A124E" w:rsidP="005A124E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If the defendant </w:t>
      </w:r>
      <w:r w:rsidR="00A22BEB">
        <w:rPr>
          <w:sz w:val="24"/>
          <w:szCs w:val="24"/>
        </w:rPr>
        <w:t xml:space="preserve">refuses to sign the form, </w:t>
      </w:r>
      <w:r w:rsidR="008A2B8B">
        <w:rPr>
          <w:sz w:val="24"/>
          <w:szCs w:val="24"/>
        </w:rPr>
        <w:t xml:space="preserve">the officers should fill out the form with the new court date.  The officer shall write on the form </w:t>
      </w:r>
      <w:r w:rsidR="008A2B8B">
        <w:rPr>
          <w:b/>
          <w:sz w:val="24"/>
          <w:szCs w:val="24"/>
        </w:rPr>
        <w:t>“refused to sign, court date given”</w:t>
      </w:r>
      <w:r w:rsidR="008A2B8B">
        <w:rPr>
          <w:sz w:val="24"/>
          <w:szCs w:val="24"/>
        </w:rPr>
        <w:t xml:space="preserve">.  </w:t>
      </w:r>
    </w:p>
    <w:p w14:paraId="1E89C25C" w14:textId="77777777" w:rsidR="00D50644" w:rsidRDefault="00204BCA" w:rsidP="00D50644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The officer will give the defendant a copy of the form and release the defendant at the scene. </w:t>
      </w:r>
    </w:p>
    <w:p w14:paraId="09E7C477" w14:textId="75FDA401" w:rsidR="00204BCA" w:rsidRPr="00D50644" w:rsidRDefault="00204BCA" w:rsidP="00D50644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 w:rsidRPr="00D50644">
        <w:rPr>
          <w:sz w:val="24"/>
          <w:szCs w:val="24"/>
        </w:rPr>
        <w:t xml:space="preserve">The officer shall keep a copy of the form and turn it in for </w:t>
      </w:r>
      <w:proofErr w:type="spellStart"/>
      <w:r w:rsidRPr="00D50644">
        <w:rPr>
          <w:sz w:val="24"/>
          <w:szCs w:val="24"/>
        </w:rPr>
        <w:t>eFiling</w:t>
      </w:r>
      <w:proofErr w:type="spellEnd"/>
      <w:r w:rsidRPr="00D50644">
        <w:rPr>
          <w:sz w:val="24"/>
          <w:szCs w:val="24"/>
        </w:rPr>
        <w:t>.</w:t>
      </w:r>
    </w:p>
    <w:p w14:paraId="1B68B764" w14:textId="2424FC03" w:rsidR="008A2B8B" w:rsidRDefault="008A2B8B" w:rsidP="005A124E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 w:rsidRPr="008A2B8B">
        <w:rPr>
          <w:sz w:val="24"/>
          <w:szCs w:val="24"/>
          <w:u w:val="single"/>
        </w:rPr>
        <w:t xml:space="preserve">For </w:t>
      </w:r>
      <w:r w:rsidR="00694ADC">
        <w:rPr>
          <w:sz w:val="24"/>
          <w:szCs w:val="24"/>
          <w:u w:val="single"/>
        </w:rPr>
        <w:t xml:space="preserve">warrants arising out of a </w:t>
      </w:r>
      <w:r w:rsidRPr="008A2B8B">
        <w:rPr>
          <w:sz w:val="24"/>
          <w:szCs w:val="24"/>
          <w:u w:val="single"/>
        </w:rPr>
        <w:t>Minneapolis case</w:t>
      </w:r>
      <w:r>
        <w:rPr>
          <w:sz w:val="24"/>
          <w:szCs w:val="24"/>
        </w:rPr>
        <w:t>:</w:t>
      </w:r>
    </w:p>
    <w:p w14:paraId="1B50269C" w14:textId="77777777" w:rsidR="005A124E" w:rsidRDefault="00A22BEB" w:rsidP="008A2B8B">
      <w:pPr>
        <w:pStyle w:val="ListParagraph"/>
        <w:numPr>
          <w:ilvl w:val="1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r>
        <w:rPr>
          <w:sz w:val="24"/>
          <w:szCs w:val="24"/>
        </w:rPr>
        <w:t>MPD</w:t>
      </w:r>
      <w:proofErr w:type="spellEnd"/>
      <w:r>
        <w:rPr>
          <w:sz w:val="24"/>
          <w:szCs w:val="24"/>
        </w:rPr>
        <w:t xml:space="preserve"> Officers - </w:t>
      </w:r>
      <w:r w:rsidR="005A124E">
        <w:rPr>
          <w:sz w:val="24"/>
          <w:szCs w:val="24"/>
        </w:rPr>
        <w:t xml:space="preserve">the signed form </w:t>
      </w:r>
      <w:r>
        <w:rPr>
          <w:sz w:val="24"/>
          <w:szCs w:val="24"/>
        </w:rPr>
        <w:t xml:space="preserve">shall be returned </w:t>
      </w:r>
      <w:r w:rsidR="005A124E">
        <w:rPr>
          <w:sz w:val="24"/>
          <w:szCs w:val="24"/>
        </w:rPr>
        <w:t xml:space="preserve">to the precinct by placing the form </w:t>
      </w:r>
      <w:r w:rsidR="00F042A6">
        <w:rPr>
          <w:sz w:val="24"/>
          <w:szCs w:val="24"/>
        </w:rPr>
        <w:t>either in the precinct paralegal’s mail slot or in a designated box.</w:t>
      </w:r>
    </w:p>
    <w:p w14:paraId="6CE5F9BF" w14:textId="77777777" w:rsidR="00A22BEB" w:rsidRDefault="00A22BEB" w:rsidP="008A2B8B">
      <w:pPr>
        <w:pStyle w:val="ListParagraph"/>
        <w:numPr>
          <w:ilvl w:val="1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>For non-</w:t>
      </w:r>
      <w:proofErr w:type="spellStart"/>
      <w:r>
        <w:rPr>
          <w:sz w:val="24"/>
          <w:szCs w:val="24"/>
        </w:rPr>
        <w:t>MPD</w:t>
      </w:r>
      <w:proofErr w:type="spellEnd"/>
      <w:r>
        <w:rPr>
          <w:sz w:val="24"/>
          <w:szCs w:val="24"/>
        </w:rPr>
        <w:t xml:space="preserve"> officers – the signed form may be </w:t>
      </w:r>
      <w:r w:rsidR="00A83A92">
        <w:rPr>
          <w:sz w:val="24"/>
          <w:szCs w:val="24"/>
        </w:rPr>
        <w:t xml:space="preserve">emailed to </w:t>
      </w:r>
      <w:hyperlink r:id="rId8" w:history="1">
        <w:proofErr w:type="spellStart"/>
        <w:r w:rsidR="00A83A92" w:rsidRPr="00BA46DF">
          <w:rPr>
            <w:rStyle w:val="Hyperlink"/>
            <w:sz w:val="24"/>
            <w:szCs w:val="24"/>
          </w:rPr>
          <w:t>criminal.efiling@minneapolismn.gov</w:t>
        </w:r>
        <w:proofErr w:type="spellEnd"/>
      </w:hyperlink>
    </w:p>
    <w:p w14:paraId="4DAB14BD" w14:textId="391AC60E" w:rsidR="00F042A6" w:rsidRPr="00D50644" w:rsidRDefault="00A83A92" w:rsidP="008A2B8B">
      <w:pPr>
        <w:pStyle w:val="ListParagraph"/>
        <w:numPr>
          <w:ilvl w:val="1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The Minneapolis City Attorney’s Office </w:t>
      </w:r>
      <w:r w:rsidR="008A2B8B">
        <w:rPr>
          <w:sz w:val="24"/>
          <w:szCs w:val="24"/>
        </w:rPr>
        <w:t xml:space="preserve">will </w:t>
      </w:r>
      <w:proofErr w:type="spellStart"/>
      <w:r w:rsidR="008A2B8B">
        <w:rPr>
          <w:sz w:val="24"/>
          <w:szCs w:val="24"/>
        </w:rPr>
        <w:t>eF</w:t>
      </w:r>
      <w:r w:rsidR="00F042A6">
        <w:rPr>
          <w:sz w:val="24"/>
          <w:szCs w:val="24"/>
        </w:rPr>
        <w:t>ile</w:t>
      </w:r>
      <w:proofErr w:type="spellEnd"/>
      <w:r w:rsidR="00F042A6">
        <w:rPr>
          <w:sz w:val="24"/>
          <w:szCs w:val="24"/>
        </w:rPr>
        <w:t xml:space="preserve"> the form into the existing </w:t>
      </w:r>
      <w:proofErr w:type="spellStart"/>
      <w:r w:rsidR="00F042A6">
        <w:rPr>
          <w:sz w:val="24"/>
          <w:szCs w:val="24"/>
        </w:rPr>
        <w:t>MNCIS</w:t>
      </w:r>
      <w:proofErr w:type="spellEnd"/>
      <w:r w:rsidR="00F042A6">
        <w:rPr>
          <w:sz w:val="24"/>
          <w:szCs w:val="24"/>
        </w:rPr>
        <w:t xml:space="preserve"> case by using the event code </w:t>
      </w:r>
      <w:r w:rsidR="00F042A6">
        <w:rPr>
          <w:b/>
          <w:bCs/>
          <w:u w:val="single"/>
        </w:rPr>
        <w:t>Law Enforcement Notice of Release and Appearance (</w:t>
      </w:r>
      <w:proofErr w:type="spellStart"/>
      <w:r w:rsidR="00F042A6">
        <w:rPr>
          <w:b/>
          <w:bCs/>
          <w:u w:val="single"/>
        </w:rPr>
        <w:t>LENORELAPP</w:t>
      </w:r>
      <w:proofErr w:type="spellEnd"/>
      <w:r w:rsidR="00F042A6">
        <w:rPr>
          <w:b/>
          <w:bCs/>
          <w:u w:val="single"/>
        </w:rPr>
        <w:t>).</w:t>
      </w:r>
    </w:p>
    <w:p w14:paraId="532CE1F9" w14:textId="77777777" w:rsidR="00D50644" w:rsidRPr="00F042A6" w:rsidRDefault="00D50644" w:rsidP="00D50644">
      <w:pPr>
        <w:pStyle w:val="ListParagraph"/>
        <w:ind w:left="1800"/>
        <w:textAlignment w:val="center"/>
        <w:rPr>
          <w:sz w:val="24"/>
          <w:szCs w:val="24"/>
        </w:rPr>
      </w:pPr>
    </w:p>
    <w:p w14:paraId="37477658" w14:textId="793B09DD" w:rsidR="008A2B8B" w:rsidRDefault="008A2B8B" w:rsidP="005A124E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For </w:t>
      </w:r>
      <w:r w:rsidR="00694ADC">
        <w:rPr>
          <w:sz w:val="24"/>
          <w:szCs w:val="24"/>
          <w:u w:val="single"/>
        </w:rPr>
        <w:t xml:space="preserve">warrants arising out of a </w:t>
      </w:r>
      <w:r>
        <w:rPr>
          <w:sz w:val="24"/>
          <w:szCs w:val="24"/>
          <w:u w:val="single"/>
        </w:rPr>
        <w:t>Suburban Case:</w:t>
      </w:r>
    </w:p>
    <w:p w14:paraId="4B93E616" w14:textId="77777777" w:rsidR="008A2B8B" w:rsidRDefault="008A2B8B" w:rsidP="008A2B8B">
      <w:pPr>
        <w:pStyle w:val="ListParagraph"/>
        <w:numPr>
          <w:ilvl w:val="1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The form will be sent to your city prosecutors who will then </w:t>
      </w:r>
      <w:proofErr w:type="spellStart"/>
      <w:r>
        <w:rPr>
          <w:sz w:val="24"/>
          <w:szCs w:val="24"/>
        </w:rPr>
        <w:t>eFile</w:t>
      </w:r>
      <w:proofErr w:type="spellEnd"/>
      <w:r>
        <w:rPr>
          <w:sz w:val="24"/>
          <w:szCs w:val="24"/>
        </w:rPr>
        <w:t xml:space="preserve"> the form.</w:t>
      </w:r>
    </w:p>
    <w:p w14:paraId="03EEA4D9" w14:textId="77777777" w:rsidR="008A2B8B" w:rsidRPr="008A2B8B" w:rsidRDefault="008A2B8B" w:rsidP="008A2B8B">
      <w:pPr>
        <w:pStyle w:val="ListParagraph"/>
        <w:numPr>
          <w:ilvl w:val="1"/>
          <w:numId w:val="33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The suburban prosecutor will </w:t>
      </w:r>
      <w:proofErr w:type="spellStart"/>
      <w:r>
        <w:rPr>
          <w:sz w:val="24"/>
          <w:szCs w:val="24"/>
        </w:rPr>
        <w:t>eFile</w:t>
      </w:r>
      <w:proofErr w:type="spellEnd"/>
      <w:r>
        <w:rPr>
          <w:sz w:val="24"/>
          <w:szCs w:val="24"/>
        </w:rPr>
        <w:t xml:space="preserve"> the form into the existing </w:t>
      </w:r>
      <w:proofErr w:type="spellStart"/>
      <w:r>
        <w:rPr>
          <w:sz w:val="24"/>
          <w:szCs w:val="24"/>
        </w:rPr>
        <w:t>MNCIS</w:t>
      </w:r>
      <w:proofErr w:type="spellEnd"/>
      <w:r>
        <w:rPr>
          <w:sz w:val="24"/>
          <w:szCs w:val="24"/>
        </w:rPr>
        <w:t xml:space="preserve"> case by using the event code </w:t>
      </w:r>
      <w:r>
        <w:rPr>
          <w:b/>
          <w:sz w:val="24"/>
          <w:szCs w:val="24"/>
          <w:u w:val="single"/>
        </w:rPr>
        <w:t>Law Enforcement Notice of Release and Appearance (</w:t>
      </w:r>
      <w:proofErr w:type="spellStart"/>
      <w:r>
        <w:rPr>
          <w:b/>
          <w:sz w:val="24"/>
          <w:szCs w:val="24"/>
          <w:u w:val="single"/>
        </w:rPr>
        <w:t>LENORELAPP</w:t>
      </w:r>
      <w:proofErr w:type="spellEnd"/>
      <w:r>
        <w:rPr>
          <w:b/>
          <w:sz w:val="24"/>
          <w:szCs w:val="24"/>
          <w:u w:val="single"/>
        </w:rPr>
        <w:t>).</w:t>
      </w:r>
    </w:p>
    <w:p w14:paraId="7536DDEA" w14:textId="0FA82826" w:rsidR="00F042A6" w:rsidRPr="008A2B8B" w:rsidRDefault="00F042A6" w:rsidP="005A124E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 w:rsidRPr="008A2B8B">
        <w:rPr>
          <w:bCs/>
          <w:sz w:val="24"/>
          <w:szCs w:val="24"/>
        </w:rPr>
        <w:t xml:space="preserve">The clerk of court will update </w:t>
      </w:r>
      <w:proofErr w:type="spellStart"/>
      <w:r w:rsidRPr="008A2B8B">
        <w:rPr>
          <w:bCs/>
          <w:sz w:val="24"/>
          <w:szCs w:val="24"/>
        </w:rPr>
        <w:t>MNCIS</w:t>
      </w:r>
      <w:proofErr w:type="spellEnd"/>
      <w:r w:rsidRPr="008A2B8B">
        <w:rPr>
          <w:bCs/>
          <w:sz w:val="24"/>
          <w:szCs w:val="24"/>
        </w:rPr>
        <w:t xml:space="preserve"> with the new court date and update the defendant’s personal </w:t>
      </w:r>
      <w:r w:rsidR="00D40726" w:rsidRPr="008A2B8B">
        <w:rPr>
          <w:bCs/>
          <w:sz w:val="24"/>
          <w:szCs w:val="24"/>
        </w:rPr>
        <w:t xml:space="preserve">contact </w:t>
      </w:r>
      <w:r w:rsidR="008A2B8B">
        <w:rPr>
          <w:bCs/>
          <w:sz w:val="24"/>
          <w:szCs w:val="24"/>
        </w:rPr>
        <w:t>information one the form is filed.</w:t>
      </w:r>
    </w:p>
    <w:p w14:paraId="54EC45FB" w14:textId="32477633" w:rsidR="009E43A5" w:rsidRPr="008A2B8B" w:rsidRDefault="009E43A5" w:rsidP="005A124E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 w:rsidRPr="008A2B8B">
        <w:rPr>
          <w:bCs/>
          <w:sz w:val="24"/>
          <w:szCs w:val="24"/>
        </w:rPr>
        <w:t xml:space="preserve">The clerk of court will also ensure that the warrant has been quashed in </w:t>
      </w:r>
      <w:proofErr w:type="spellStart"/>
      <w:r w:rsidRPr="008A2B8B">
        <w:rPr>
          <w:bCs/>
          <w:sz w:val="24"/>
          <w:szCs w:val="24"/>
        </w:rPr>
        <w:t>MNCIS</w:t>
      </w:r>
      <w:proofErr w:type="spellEnd"/>
      <w:r w:rsidRPr="008A2B8B">
        <w:rPr>
          <w:bCs/>
          <w:sz w:val="24"/>
          <w:szCs w:val="24"/>
        </w:rPr>
        <w:t>.</w:t>
      </w:r>
    </w:p>
    <w:p w14:paraId="07457E49" w14:textId="23F859BE" w:rsidR="00F042A6" w:rsidRPr="008A2B8B" w:rsidRDefault="00F042A6" w:rsidP="005A124E">
      <w:pPr>
        <w:pStyle w:val="ListParagraph"/>
        <w:numPr>
          <w:ilvl w:val="0"/>
          <w:numId w:val="33"/>
        </w:numPr>
        <w:textAlignment w:val="center"/>
        <w:rPr>
          <w:sz w:val="24"/>
          <w:szCs w:val="24"/>
        </w:rPr>
      </w:pPr>
      <w:r w:rsidRPr="008A2B8B">
        <w:rPr>
          <w:bCs/>
          <w:sz w:val="24"/>
          <w:szCs w:val="24"/>
        </w:rPr>
        <w:t>If the defendant fails to appear at this new court date, a regular bench warrant shall issue.</w:t>
      </w:r>
    </w:p>
    <w:p w14:paraId="100A70AB" w14:textId="77777777" w:rsidR="00F042A6" w:rsidRDefault="00F042A6" w:rsidP="00F042A6">
      <w:pPr>
        <w:textAlignment w:val="center"/>
        <w:rPr>
          <w:sz w:val="24"/>
          <w:szCs w:val="24"/>
        </w:rPr>
      </w:pPr>
    </w:p>
    <w:p w14:paraId="7B9101CC" w14:textId="77777777" w:rsidR="00F042A6" w:rsidRDefault="00F042A6" w:rsidP="00F042A6">
      <w:pPr>
        <w:textAlignment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Other:</w:t>
      </w:r>
    </w:p>
    <w:p w14:paraId="04FED95D" w14:textId="77777777" w:rsidR="00F042A6" w:rsidRDefault="00F042A6" w:rsidP="00F042A6">
      <w:pPr>
        <w:textAlignment w:val="center"/>
        <w:rPr>
          <w:b/>
          <w:sz w:val="24"/>
          <w:szCs w:val="24"/>
          <w:u w:val="single"/>
        </w:rPr>
      </w:pPr>
    </w:p>
    <w:p w14:paraId="3FE567C7" w14:textId="77777777" w:rsidR="00F042A6" w:rsidRPr="000847E6" w:rsidRDefault="00F042A6" w:rsidP="00F042A6">
      <w:pPr>
        <w:pStyle w:val="ListParagraph"/>
        <w:numPr>
          <w:ilvl w:val="0"/>
          <w:numId w:val="34"/>
        </w:numPr>
        <w:textAlignment w:val="center"/>
        <w:rPr>
          <w:sz w:val="24"/>
          <w:szCs w:val="24"/>
        </w:rPr>
      </w:pPr>
      <w:r w:rsidRPr="000847E6">
        <w:rPr>
          <w:sz w:val="24"/>
          <w:szCs w:val="24"/>
        </w:rPr>
        <w:t>If the defendant has an active warrant for any other reason – condition</w:t>
      </w:r>
      <w:r w:rsidR="003926E4">
        <w:rPr>
          <w:sz w:val="24"/>
          <w:szCs w:val="24"/>
        </w:rPr>
        <w:t>al</w:t>
      </w:r>
      <w:r w:rsidRPr="000847E6">
        <w:rPr>
          <w:sz w:val="24"/>
          <w:szCs w:val="24"/>
        </w:rPr>
        <w:t xml:space="preserve"> release violation,</w:t>
      </w:r>
      <w:r w:rsidR="003926E4">
        <w:rPr>
          <w:sz w:val="24"/>
          <w:szCs w:val="24"/>
        </w:rPr>
        <w:t xml:space="preserve"> probation violation or</w:t>
      </w:r>
      <w:r w:rsidRPr="000847E6">
        <w:rPr>
          <w:sz w:val="24"/>
          <w:szCs w:val="24"/>
        </w:rPr>
        <w:t xml:space="preserve"> an active warrant on another case, etc., that defendant shall be taken to jail and booked on t</w:t>
      </w:r>
      <w:r w:rsidR="00F01E13">
        <w:rPr>
          <w:sz w:val="24"/>
          <w:szCs w:val="24"/>
        </w:rPr>
        <w:t>hat</w:t>
      </w:r>
      <w:r w:rsidRPr="000847E6">
        <w:rPr>
          <w:sz w:val="24"/>
          <w:szCs w:val="24"/>
        </w:rPr>
        <w:t xml:space="preserve"> warrant.  </w:t>
      </w:r>
    </w:p>
    <w:p w14:paraId="5ECB1076" w14:textId="77777777" w:rsidR="00F042A6" w:rsidRPr="000847E6" w:rsidRDefault="00F042A6" w:rsidP="00F042A6">
      <w:pPr>
        <w:pStyle w:val="ListParagraph"/>
        <w:numPr>
          <w:ilvl w:val="0"/>
          <w:numId w:val="34"/>
        </w:numPr>
        <w:textAlignment w:val="center"/>
        <w:rPr>
          <w:sz w:val="24"/>
          <w:szCs w:val="24"/>
        </w:rPr>
      </w:pPr>
      <w:r w:rsidRPr="000847E6">
        <w:rPr>
          <w:sz w:val="24"/>
          <w:szCs w:val="24"/>
        </w:rPr>
        <w:t>If law enforcement has come into contact with the defendant due to other cr</w:t>
      </w:r>
      <w:r w:rsidR="00F01E13">
        <w:rPr>
          <w:sz w:val="24"/>
          <w:szCs w:val="24"/>
        </w:rPr>
        <w:t>iminal activity, if there is a R</w:t>
      </w:r>
      <w:r w:rsidRPr="000847E6">
        <w:rPr>
          <w:sz w:val="24"/>
          <w:szCs w:val="24"/>
        </w:rPr>
        <w:t>ule 6 reason, the defendant may be booked on the new offense, despite having a sign and release warrant on an open case.</w:t>
      </w:r>
    </w:p>
    <w:p w14:paraId="2F437089" w14:textId="77777777" w:rsidR="00F042A6" w:rsidRPr="000847E6" w:rsidRDefault="00F042A6" w:rsidP="00F042A6">
      <w:pPr>
        <w:pStyle w:val="ListParagraph"/>
        <w:numPr>
          <w:ilvl w:val="0"/>
          <w:numId w:val="34"/>
        </w:numPr>
        <w:textAlignment w:val="center"/>
        <w:rPr>
          <w:sz w:val="24"/>
          <w:szCs w:val="24"/>
        </w:rPr>
      </w:pPr>
      <w:r w:rsidRPr="000847E6">
        <w:rPr>
          <w:sz w:val="24"/>
          <w:szCs w:val="24"/>
        </w:rPr>
        <w:t>If a defendant is booked into jail for a valid reason, the jail shall schedule the sign and release case to the next court appearance</w:t>
      </w:r>
      <w:r w:rsidR="00811361">
        <w:rPr>
          <w:sz w:val="24"/>
          <w:szCs w:val="24"/>
        </w:rPr>
        <w:t xml:space="preserve"> for the new case</w:t>
      </w:r>
      <w:r w:rsidRPr="000847E6">
        <w:rPr>
          <w:sz w:val="24"/>
          <w:szCs w:val="24"/>
        </w:rPr>
        <w:t>.</w:t>
      </w:r>
    </w:p>
    <w:p w14:paraId="4941004D" w14:textId="77777777" w:rsidR="000847E6" w:rsidRDefault="000847E6" w:rsidP="000847E6">
      <w:pPr>
        <w:pStyle w:val="ListParagraph"/>
        <w:numPr>
          <w:ilvl w:val="0"/>
          <w:numId w:val="34"/>
        </w:numPr>
        <w:textAlignment w:val="center"/>
        <w:rPr>
          <w:sz w:val="24"/>
          <w:szCs w:val="24"/>
        </w:rPr>
      </w:pPr>
      <w:r w:rsidRPr="000847E6">
        <w:rPr>
          <w:sz w:val="24"/>
          <w:szCs w:val="24"/>
        </w:rPr>
        <w:t>If the officer chooses to charge the defendant with other crimes, a citation may be issued or the new case may be referred to the prosecuting agency for a complaint.</w:t>
      </w:r>
    </w:p>
    <w:p w14:paraId="5DB55D37" w14:textId="6C2AEFD8" w:rsidR="00F01E13" w:rsidRDefault="00811361" w:rsidP="000847E6">
      <w:pPr>
        <w:pStyle w:val="ListParagraph"/>
        <w:numPr>
          <w:ilvl w:val="0"/>
          <w:numId w:val="34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>If the jail releases someone on a sign and release warrant, their staff may use their regular court slip and not the sign and release form. The jail should set the court dat</w:t>
      </w:r>
      <w:r w:rsidR="00F01E13">
        <w:rPr>
          <w:sz w:val="24"/>
          <w:szCs w:val="24"/>
        </w:rPr>
        <w:t xml:space="preserve">e out </w:t>
      </w:r>
      <w:r w:rsidR="0029567E" w:rsidRPr="00610693">
        <w:rPr>
          <w:sz w:val="24"/>
          <w:szCs w:val="24"/>
        </w:rPr>
        <w:t>no later than 10 days</w:t>
      </w:r>
      <w:r w:rsidR="0029567E">
        <w:rPr>
          <w:sz w:val="24"/>
          <w:szCs w:val="24"/>
        </w:rPr>
        <w:t xml:space="preserve"> </w:t>
      </w:r>
      <w:r w:rsidR="00F01E13">
        <w:rPr>
          <w:sz w:val="24"/>
          <w:szCs w:val="24"/>
        </w:rPr>
        <w:t>as well using Friday court dates for weekend arrests.</w:t>
      </w:r>
    </w:p>
    <w:p w14:paraId="11C5FF9E" w14:textId="77777777" w:rsidR="002D6142" w:rsidRDefault="002D6142" w:rsidP="002D6142">
      <w:pPr>
        <w:textAlignment w:val="center"/>
        <w:rPr>
          <w:sz w:val="24"/>
          <w:szCs w:val="24"/>
        </w:rPr>
      </w:pPr>
    </w:p>
    <w:p w14:paraId="73EC14CE" w14:textId="77777777" w:rsidR="002D6142" w:rsidRPr="002D6142" w:rsidRDefault="002D6142" w:rsidP="002D6142">
      <w:pPr>
        <w:textAlignment w:val="center"/>
        <w:rPr>
          <w:sz w:val="24"/>
          <w:szCs w:val="24"/>
        </w:rPr>
      </w:pPr>
    </w:p>
    <w:p w14:paraId="42E71CD2" w14:textId="77777777" w:rsidR="003926E4" w:rsidRPr="003926E4" w:rsidRDefault="00F01E13" w:rsidP="000847E6">
      <w:pPr>
        <w:pStyle w:val="ListParagraph"/>
        <w:numPr>
          <w:ilvl w:val="0"/>
          <w:numId w:val="34"/>
        </w:numPr>
        <w:textAlignment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3926E4">
        <w:rPr>
          <w:sz w:val="24"/>
          <w:szCs w:val="24"/>
          <w:u w:val="single"/>
        </w:rPr>
        <w:t>Out of county stops:</w:t>
      </w:r>
    </w:p>
    <w:p w14:paraId="3749730A" w14:textId="1EECDA1B" w:rsidR="003926E4" w:rsidRDefault="003926E4" w:rsidP="003926E4">
      <w:pPr>
        <w:pStyle w:val="ListParagraph"/>
        <w:numPr>
          <w:ilvl w:val="1"/>
          <w:numId w:val="34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If a defendant is stopped outside of Hennepin County on a sign and release warrant, the </w:t>
      </w:r>
      <w:r w:rsidR="00F01E13">
        <w:rPr>
          <w:sz w:val="24"/>
          <w:szCs w:val="24"/>
        </w:rPr>
        <w:t xml:space="preserve">Hennepin County </w:t>
      </w:r>
      <w:r w:rsidR="00576D14">
        <w:rPr>
          <w:sz w:val="24"/>
          <w:szCs w:val="24"/>
        </w:rPr>
        <w:t>Warrant O</w:t>
      </w:r>
      <w:r>
        <w:rPr>
          <w:sz w:val="24"/>
          <w:szCs w:val="24"/>
        </w:rPr>
        <w:t>ffice will provide law enforcement with a new court date.</w:t>
      </w:r>
    </w:p>
    <w:p w14:paraId="17CF1CCE" w14:textId="77777777" w:rsidR="003926E4" w:rsidRDefault="003926E4" w:rsidP="003926E4">
      <w:pPr>
        <w:pStyle w:val="ListParagraph"/>
        <w:numPr>
          <w:ilvl w:val="1"/>
          <w:numId w:val="34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The officer will verbally inform the defendant of the sign and release warrant and the new court date.  </w:t>
      </w:r>
    </w:p>
    <w:p w14:paraId="7F90B9F6" w14:textId="77777777" w:rsidR="0026190F" w:rsidRPr="00576D14" w:rsidRDefault="0026190F" w:rsidP="003926E4">
      <w:pPr>
        <w:pStyle w:val="ListParagraph"/>
        <w:numPr>
          <w:ilvl w:val="1"/>
          <w:numId w:val="34"/>
        </w:numPr>
        <w:textAlignment w:val="center"/>
        <w:rPr>
          <w:sz w:val="24"/>
          <w:szCs w:val="24"/>
        </w:rPr>
      </w:pPr>
      <w:r w:rsidRPr="00576D14">
        <w:rPr>
          <w:sz w:val="24"/>
          <w:szCs w:val="24"/>
        </w:rPr>
        <w:t>The warrant office will then inactivate the warrant.</w:t>
      </w:r>
    </w:p>
    <w:p w14:paraId="6E3B1C3C" w14:textId="77777777" w:rsidR="003926E4" w:rsidRDefault="003926E4" w:rsidP="003926E4">
      <w:pPr>
        <w:pStyle w:val="ListParagraph"/>
        <w:numPr>
          <w:ilvl w:val="1"/>
          <w:numId w:val="34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A note will be placed in </w:t>
      </w:r>
      <w:proofErr w:type="spellStart"/>
      <w:r>
        <w:rPr>
          <w:sz w:val="24"/>
          <w:szCs w:val="24"/>
        </w:rPr>
        <w:t>MNCIS</w:t>
      </w:r>
      <w:proofErr w:type="spellEnd"/>
      <w:r>
        <w:rPr>
          <w:sz w:val="24"/>
          <w:szCs w:val="24"/>
        </w:rPr>
        <w:t xml:space="preserve"> to indicate the defendant was stopped outside of Hennepin County.  </w:t>
      </w:r>
    </w:p>
    <w:p w14:paraId="6CB70C07" w14:textId="77777777" w:rsidR="003926E4" w:rsidRPr="000847E6" w:rsidRDefault="003926E4" w:rsidP="003926E4">
      <w:pPr>
        <w:pStyle w:val="ListParagraph"/>
        <w:numPr>
          <w:ilvl w:val="1"/>
          <w:numId w:val="34"/>
        </w:numPr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If the defendant fails to appear at the given court date a bench warrant </w:t>
      </w:r>
      <w:r w:rsidR="00F01E13">
        <w:rPr>
          <w:sz w:val="24"/>
          <w:szCs w:val="24"/>
        </w:rPr>
        <w:t xml:space="preserve">with monetary bail </w:t>
      </w:r>
      <w:r>
        <w:rPr>
          <w:sz w:val="24"/>
          <w:szCs w:val="24"/>
        </w:rPr>
        <w:t>shall issue.</w:t>
      </w:r>
    </w:p>
    <w:p w14:paraId="4555477A" w14:textId="77777777" w:rsidR="000847E6" w:rsidRPr="00F042A6" w:rsidRDefault="000847E6" w:rsidP="000847E6">
      <w:pPr>
        <w:pStyle w:val="ListParagraph"/>
        <w:textAlignment w:val="center"/>
        <w:rPr>
          <w:i/>
          <w:sz w:val="24"/>
          <w:szCs w:val="24"/>
        </w:rPr>
      </w:pPr>
    </w:p>
    <w:p w14:paraId="73A3F28D" w14:textId="77777777" w:rsidR="00F042A6" w:rsidRPr="00F042A6" w:rsidRDefault="00F042A6" w:rsidP="00F042A6">
      <w:pPr>
        <w:pStyle w:val="ListParagraph"/>
        <w:textAlignment w:val="center"/>
        <w:rPr>
          <w:b/>
          <w:i/>
          <w:sz w:val="24"/>
          <w:szCs w:val="24"/>
        </w:rPr>
      </w:pPr>
    </w:p>
    <w:p w14:paraId="739D0641" w14:textId="77777777" w:rsidR="00F042A6" w:rsidRPr="005A124E" w:rsidRDefault="00F042A6" w:rsidP="00F042A6">
      <w:pPr>
        <w:pStyle w:val="ListParagraph"/>
        <w:ind w:left="1080"/>
        <w:textAlignment w:val="center"/>
        <w:rPr>
          <w:sz w:val="24"/>
          <w:szCs w:val="24"/>
        </w:rPr>
      </w:pPr>
    </w:p>
    <w:sectPr w:rsidR="00F042A6" w:rsidRPr="005A124E" w:rsidSect="000847E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F8B7" w14:textId="77777777" w:rsidR="00D16EDD" w:rsidRDefault="00D16EDD" w:rsidP="00C43175">
      <w:r>
        <w:separator/>
      </w:r>
    </w:p>
  </w:endnote>
  <w:endnote w:type="continuationSeparator" w:id="0">
    <w:p w14:paraId="2DED784C" w14:textId="77777777" w:rsidR="00D16EDD" w:rsidRDefault="00D16EDD" w:rsidP="00C4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9242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5F0CF8" w14:textId="7C0E542A" w:rsidR="00C90842" w:rsidRPr="00C90842" w:rsidRDefault="00C90842">
            <w:pPr>
              <w:pStyle w:val="Footer"/>
              <w:jc w:val="center"/>
            </w:pPr>
            <w:r w:rsidRPr="00C90842">
              <w:t xml:space="preserve">Page </w:t>
            </w:r>
            <w:r w:rsidRPr="00C90842">
              <w:rPr>
                <w:bCs/>
                <w:sz w:val="24"/>
                <w:szCs w:val="24"/>
              </w:rPr>
              <w:fldChar w:fldCharType="begin"/>
            </w:r>
            <w:r w:rsidRPr="00C90842">
              <w:rPr>
                <w:bCs/>
              </w:rPr>
              <w:instrText xml:space="preserve"> PAGE </w:instrText>
            </w:r>
            <w:r w:rsidRPr="00C90842">
              <w:rPr>
                <w:bCs/>
                <w:sz w:val="24"/>
                <w:szCs w:val="24"/>
              </w:rPr>
              <w:fldChar w:fldCharType="separate"/>
            </w:r>
            <w:r w:rsidR="00901785">
              <w:rPr>
                <w:bCs/>
                <w:noProof/>
              </w:rPr>
              <w:t>1</w:t>
            </w:r>
            <w:r w:rsidRPr="00C90842">
              <w:rPr>
                <w:bCs/>
                <w:sz w:val="24"/>
                <w:szCs w:val="24"/>
              </w:rPr>
              <w:fldChar w:fldCharType="end"/>
            </w:r>
            <w:r w:rsidRPr="00C90842">
              <w:t xml:space="preserve"> of </w:t>
            </w:r>
            <w:r w:rsidRPr="00C90842">
              <w:rPr>
                <w:bCs/>
                <w:sz w:val="24"/>
                <w:szCs w:val="24"/>
              </w:rPr>
              <w:fldChar w:fldCharType="begin"/>
            </w:r>
            <w:r w:rsidRPr="00C90842">
              <w:rPr>
                <w:bCs/>
              </w:rPr>
              <w:instrText xml:space="preserve"> NUMPAGES  </w:instrText>
            </w:r>
            <w:r w:rsidRPr="00C90842">
              <w:rPr>
                <w:bCs/>
                <w:sz w:val="24"/>
                <w:szCs w:val="24"/>
              </w:rPr>
              <w:fldChar w:fldCharType="separate"/>
            </w:r>
            <w:r w:rsidR="00901785">
              <w:rPr>
                <w:bCs/>
                <w:noProof/>
              </w:rPr>
              <w:t>2</w:t>
            </w:r>
            <w:r w:rsidRPr="00C9084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CDB98" w14:textId="77777777" w:rsidR="00D16EDD" w:rsidRDefault="00D16EDD" w:rsidP="00C43175">
      <w:r>
        <w:separator/>
      </w:r>
    </w:p>
  </w:footnote>
  <w:footnote w:type="continuationSeparator" w:id="0">
    <w:p w14:paraId="5CDA41BA" w14:textId="77777777" w:rsidR="00D16EDD" w:rsidRDefault="00D16EDD" w:rsidP="00C4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2DA"/>
    <w:multiLevelType w:val="hybridMultilevel"/>
    <w:tmpl w:val="FB0EC9B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2519A"/>
    <w:multiLevelType w:val="hybridMultilevel"/>
    <w:tmpl w:val="44AE4FC2"/>
    <w:lvl w:ilvl="0" w:tplc="7D7A3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68E9"/>
    <w:multiLevelType w:val="hybridMultilevel"/>
    <w:tmpl w:val="054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977BB"/>
    <w:multiLevelType w:val="hybridMultilevel"/>
    <w:tmpl w:val="E99A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34128"/>
    <w:multiLevelType w:val="hybridMultilevel"/>
    <w:tmpl w:val="A85A2DC2"/>
    <w:lvl w:ilvl="0" w:tplc="7D7A3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5A97"/>
    <w:multiLevelType w:val="hybridMultilevel"/>
    <w:tmpl w:val="1736BF8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47575A6"/>
    <w:multiLevelType w:val="hybridMultilevel"/>
    <w:tmpl w:val="700E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12AE"/>
    <w:multiLevelType w:val="hybridMultilevel"/>
    <w:tmpl w:val="B05A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A3190"/>
    <w:multiLevelType w:val="hybridMultilevel"/>
    <w:tmpl w:val="16CE53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B8879E2"/>
    <w:multiLevelType w:val="hybridMultilevel"/>
    <w:tmpl w:val="526A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0780D"/>
    <w:multiLevelType w:val="hybridMultilevel"/>
    <w:tmpl w:val="B190736E"/>
    <w:lvl w:ilvl="0" w:tplc="A3DE1A0A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E5B26BB2">
      <w:start w:val="1"/>
      <w:numFmt w:val="lowerLetter"/>
      <w:lvlText w:val="%2."/>
      <w:lvlJc w:val="left"/>
      <w:pPr>
        <w:ind w:left="180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044FAE"/>
    <w:multiLevelType w:val="hybridMultilevel"/>
    <w:tmpl w:val="35D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E4F1E"/>
    <w:multiLevelType w:val="hybridMultilevel"/>
    <w:tmpl w:val="E7C05D2C"/>
    <w:lvl w:ilvl="0" w:tplc="7D7A3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1758B"/>
    <w:multiLevelType w:val="hybridMultilevel"/>
    <w:tmpl w:val="34C858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AE521C7"/>
    <w:multiLevelType w:val="hybridMultilevel"/>
    <w:tmpl w:val="0FF4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45C"/>
    <w:multiLevelType w:val="hybridMultilevel"/>
    <w:tmpl w:val="C5D27D82"/>
    <w:lvl w:ilvl="0" w:tplc="7D7A365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1E32F0"/>
    <w:multiLevelType w:val="hybridMultilevel"/>
    <w:tmpl w:val="A984BE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45A7B44"/>
    <w:multiLevelType w:val="hybridMultilevel"/>
    <w:tmpl w:val="479ECDC6"/>
    <w:lvl w:ilvl="0" w:tplc="7D7A3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54E2E"/>
    <w:multiLevelType w:val="hybridMultilevel"/>
    <w:tmpl w:val="103C1EA2"/>
    <w:lvl w:ilvl="0" w:tplc="439AC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7D7A3656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EC74C2"/>
    <w:multiLevelType w:val="hybridMultilevel"/>
    <w:tmpl w:val="C54EE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ED6125"/>
    <w:multiLevelType w:val="hybridMultilevel"/>
    <w:tmpl w:val="1BB0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83F64"/>
    <w:multiLevelType w:val="hybridMultilevel"/>
    <w:tmpl w:val="8474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84DC8"/>
    <w:multiLevelType w:val="hybridMultilevel"/>
    <w:tmpl w:val="666490B2"/>
    <w:lvl w:ilvl="0" w:tplc="7D7A3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18B"/>
    <w:multiLevelType w:val="multilevel"/>
    <w:tmpl w:val="328EF856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28D7DF1"/>
    <w:multiLevelType w:val="hybridMultilevel"/>
    <w:tmpl w:val="CC7AF3F8"/>
    <w:lvl w:ilvl="0" w:tplc="7D7A3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274D0"/>
    <w:multiLevelType w:val="hybridMultilevel"/>
    <w:tmpl w:val="279038B4"/>
    <w:lvl w:ilvl="0" w:tplc="7D7A3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349DE"/>
    <w:multiLevelType w:val="hybridMultilevel"/>
    <w:tmpl w:val="56E0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A54D0"/>
    <w:multiLevelType w:val="multilevel"/>
    <w:tmpl w:val="C994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CB4E8D"/>
    <w:multiLevelType w:val="hybridMultilevel"/>
    <w:tmpl w:val="5E2E6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4202A2"/>
    <w:multiLevelType w:val="hybridMultilevel"/>
    <w:tmpl w:val="BA028700"/>
    <w:lvl w:ilvl="0" w:tplc="439AC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7D7A3656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8A63EE0"/>
    <w:multiLevelType w:val="hybridMultilevel"/>
    <w:tmpl w:val="211E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E4DED"/>
    <w:multiLevelType w:val="hybridMultilevel"/>
    <w:tmpl w:val="A244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C35EA"/>
    <w:multiLevelType w:val="hybridMultilevel"/>
    <w:tmpl w:val="A80A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50B0E"/>
    <w:multiLevelType w:val="hybridMultilevel"/>
    <w:tmpl w:val="9D241878"/>
    <w:lvl w:ilvl="0" w:tplc="7D7A3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4"/>
  </w:num>
  <w:num w:numId="4">
    <w:abstractNumId w:val="15"/>
  </w:num>
  <w:num w:numId="5">
    <w:abstractNumId w:val="33"/>
  </w:num>
  <w:num w:numId="6">
    <w:abstractNumId w:val="25"/>
  </w:num>
  <w:num w:numId="7">
    <w:abstractNumId w:val="22"/>
  </w:num>
  <w:num w:numId="8">
    <w:abstractNumId w:val="12"/>
  </w:num>
  <w:num w:numId="9">
    <w:abstractNumId w:val="17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2"/>
  </w:num>
  <w:num w:numId="15">
    <w:abstractNumId w:val="28"/>
  </w:num>
  <w:num w:numId="16">
    <w:abstractNumId w:val="31"/>
  </w:num>
  <w:num w:numId="17">
    <w:abstractNumId w:val="14"/>
  </w:num>
  <w:num w:numId="18">
    <w:abstractNumId w:val="20"/>
  </w:num>
  <w:num w:numId="19">
    <w:abstractNumId w:val="6"/>
  </w:num>
  <w:num w:numId="20">
    <w:abstractNumId w:val="27"/>
  </w:num>
  <w:num w:numId="21">
    <w:abstractNumId w:val="16"/>
  </w:num>
  <w:num w:numId="22">
    <w:abstractNumId w:val="3"/>
  </w:num>
  <w:num w:numId="23">
    <w:abstractNumId w:val="23"/>
  </w:num>
  <w:num w:numId="24">
    <w:abstractNumId w:val="9"/>
  </w:num>
  <w:num w:numId="25">
    <w:abstractNumId w:val="30"/>
  </w:num>
  <w:num w:numId="26">
    <w:abstractNumId w:val="0"/>
  </w:num>
  <w:num w:numId="27">
    <w:abstractNumId w:val="19"/>
  </w:num>
  <w:num w:numId="28">
    <w:abstractNumId w:val="8"/>
  </w:num>
  <w:num w:numId="29">
    <w:abstractNumId w:val="13"/>
  </w:num>
  <w:num w:numId="30">
    <w:abstractNumId w:val="11"/>
  </w:num>
  <w:num w:numId="31">
    <w:abstractNumId w:val="5"/>
  </w:num>
  <w:num w:numId="32">
    <w:abstractNumId w:val="7"/>
  </w:num>
  <w:num w:numId="33">
    <w:abstractNumId w:val="1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73"/>
    <w:rsid w:val="00022383"/>
    <w:rsid w:val="00023725"/>
    <w:rsid w:val="00044774"/>
    <w:rsid w:val="0004725A"/>
    <w:rsid w:val="00057794"/>
    <w:rsid w:val="00061A03"/>
    <w:rsid w:val="000847E6"/>
    <w:rsid w:val="00084F72"/>
    <w:rsid w:val="000872F2"/>
    <w:rsid w:val="00090E49"/>
    <w:rsid w:val="00097879"/>
    <w:rsid w:val="000A1035"/>
    <w:rsid w:val="000A631D"/>
    <w:rsid w:val="000B2489"/>
    <w:rsid w:val="000D332C"/>
    <w:rsid w:val="000D6F73"/>
    <w:rsid w:val="000F01E5"/>
    <w:rsid w:val="00101AB4"/>
    <w:rsid w:val="00125504"/>
    <w:rsid w:val="001459FE"/>
    <w:rsid w:val="00155076"/>
    <w:rsid w:val="00177DF1"/>
    <w:rsid w:val="00186862"/>
    <w:rsid w:val="00187DFF"/>
    <w:rsid w:val="00192941"/>
    <w:rsid w:val="001C564A"/>
    <w:rsid w:val="001D6083"/>
    <w:rsid w:val="001E541B"/>
    <w:rsid w:val="00204BCA"/>
    <w:rsid w:val="00257A14"/>
    <w:rsid w:val="0026190F"/>
    <w:rsid w:val="00281F3A"/>
    <w:rsid w:val="00282017"/>
    <w:rsid w:val="00292B7F"/>
    <w:rsid w:val="0029567E"/>
    <w:rsid w:val="002D6142"/>
    <w:rsid w:val="002E609F"/>
    <w:rsid w:val="002F4856"/>
    <w:rsid w:val="003009FD"/>
    <w:rsid w:val="0030588F"/>
    <w:rsid w:val="003102B7"/>
    <w:rsid w:val="003558F4"/>
    <w:rsid w:val="00356C64"/>
    <w:rsid w:val="00390183"/>
    <w:rsid w:val="003926E4"/>
    <w:rsid w:val="003A04FD"/>
    <w:rsid w:val="003A693F"/>
    <w:rsid w:val="003B2F47"/>
    <w:rsid w:val="003C329F"/>
    <w:rsid w:val="00411EDD"/>
    <w:rsid w:val="00451AF4"/>
    <w:rsid w:val="00452F93"/>
    <w:rsid w:val="004A209D"/>
    <w:rsid w:val="004C1A87"/>
    <w:rsid w:val="004C1ADA"/>
    <w:rsid w:val="004E61A1"/>
    <w:rsid w:val="004F788B"/>
    <w:rsid w:val="00503948"/>
    <w:rsid w:val="005059FC"/>
    <w:rsid w:val="005241AD"/>
    <w:rsid w:val="00544983"/>
    <w:rsid w:val="00545DD5"/>
    <w:rsid w:val="00556CAD"/>
    <w:rsid w:val="00563733"/>
    <w:rsid w:val="00575F2B"/>
    <w:rsid w:val="00576D14"/>
    <w:rsid w:val="0057713E"/>
    <w:rsid w:val="00593486"/>
    <w:rsid w:val="005A124E"/>
    <w:rsid w:val="005B7199"/>
    <w:rsid w:val="005C63AD"/>
    <w:rsid w:val="005E790C"/>
    <w:rsid w:val="005F7874"/>
    <w:rsid w:val="00602611"/>
    <w:rsid w:val="00610693"/>
    <w:rsid w:val="00615BD5"/>
    <w:rsid w:val="006213C3"/>
    <w:rsid w:val="0062589B"/>
    <w:rsid w:val="006465A3"/>
    <w:rsid w:val="00656908"/>
    <w:rsid w:val="006728D8"/>
    <w:rsid w:val="00675E19"/>
    <w:rsid w:val="006832F8"/>
    <w:rsid w:val="00694ADC"/>
    <w:rsid w:val="006B448B"/>
    <w:rsid w:val="006E2C78"/>
    <w:rsid w:val="006F6418"/>
    <w:rsid w:val="00750000"/>
    <w:rsid w:val="00757E75"/>
    <w:rsid w:val="007A3347"/>
    <w:rsid w:val="007F633D"/>
    <w:rsid w:val="00811361"/>
    <w:rsid w:val="00832401"/>
    <w:rsid w:val="008349AB"/>
    <w:rsid w:val="00837C1B"/>
    <w:rsid w:val="008421DA"/>
    <w:rsid w:val="00850ED4"/>
    <w:rsid w:val="0085506D"/>
    <w:rsid w:val="008716BF"/>
    <w:rsid w:val="0087423D"/>
    <w:rsid w:val="008A2B8B"/>
    <w:rsid w:val="008B0CFC"/>
    <w:rsid w:val="008E322B"/>
    <w:rsid w:val="008E4516"/>
    <w:rsid w:val="00901785"/>
    <w:rsid w:val="00902D6C"/>
    <w:rsid w:val="0091336B"/>
    <w:rsid w:val="00916D97"/>
    <w:rsid w:val="00936619"/>
    <w:rsid w:val="00950469"/>
    <w:rsid w:val="00953AEA"/>
    <w:rsid w:val="0099312E"/>
    <w:rsid w:val="009B0C9C"/>
    <w:rsid w:val="009C0ABA"/>
    <w:rsid w:val="009D2747"/>
    <w:rsid w:val="009D5380"/>
    <w:rsid w:val="009D7CB3"/>
    <w:rsid w:val="009E43A5"/>
    <w:rsid w:val="00A07D13"/>
    <w:rsid w:val="00A22BEB"/>
    <w:rsid w:val="00A336E0"/>
    <w:rsid w:val="00A3420E"/>
    <w:rsid w:val="00A35032"/>
    <w:rsid w:val="00A43024"/>
    <w:rsid w:val="00A510BA"/>
    <w:rsid w:val="00A64FB6"/>
    <w:rsid w:val="00A83A92"/>
    <w:rsid w:val="00AA36CD"/>
    <w:rsid w:val="00AB2216"/>
    <w:rsid w:val="00AB76C7"/>
    <w:rsid w:val="00B15F62"/>
    <w:rsid w:val="00B72BA2"/>
    <w:rsid w:val="00B8476F"/>
    <w:rsid w:val="00BA3A85"/>
    <w:rsid w:val="00BA7DC2"/>
    <w:rsid w:val="00BD157D"/>
    <w:rsid w:val="00BD5FE9"/>
    <w:rsid w:val="00BF0856"/>
    <w:rsid w:val="00BF43E8"/>
    <w:rsid w:val="00C222A9"/>
    <w:rsid w:val="00C43175"/>
    <w:rsid w:val="00C61E14"/>
    <w:rsid w:val="00C76742"/>
    <w:rsid w:val="00C800E2"/>
    <w:rsid w:val="00C90842"/>
    <w:rsid w:val="00C92E01"/>
    <w:rsid w:val="00CA5BCA"/>
    <w:rsid w:val="00CB2616"/>
    <w:rsid w:val="00CB3350"/>
    <w:rsid w:val="00CC2DEB"/>
    <w:rsid w:val="00CD147E"/>
    <w:rsid w:val="00CD5E4A"/>
    <w:rsid w:val="00CD6465"/>
    <w:rsid w:val="00CD691E"/>
    <w:rsid w:val="00CE5C9C"/>
    <w:rsid w:val="00CE7855"/>
    <w:rsid w:val="00CF07D5"/>
    <w:rsid w:val="00CF103F"/>
    <w:rsid w:val="00CF3D1C"/>
    <w:rsid w:val="00CF6E7B"/>
    <w:rsid w:val="00D04A1F"/>
    <w:rsid w:val="00D16B22"/>
    <w:rsid w:val="00D16EDD"/>
    <w:rsid w:val="00D340F1"/>
    <w:rsid w:val="00D37716"/>
    <w:rsid w:val="00D405B1"/>
    <w:rsid w:val="00D40726"/>
    <w:rsid w:val="00D41DD6"/>
    <w:rsid w:val="00D50644"/>
    <w:rsid w:val="00D63357"/>
    <w:rsid w:val="00D64C2E"/>
    <w:rsid w:val="00D805BA"/>
    <w:rsid w:val="00D94BAD"/>
    <w:rsid w:val="00DA13E4"/>
    <w:rsid w:val="00DB19C6"/>
    <w:rsid w:val="00DD17DF"/>
    <w:rsid w:val="00DE2442"/>
    <w:rsid w:val="00DF47AC"/>
    <w:rsid w:val="00E07C1F"/>
    <w:rsid w:val="00E15F16"/>
    <w:rsid w:val="00E16752"/>
    <w:rsid w:val="00E33BC7"/>
    <w:rsid w:val="00E7780A"/>
    <w:rsid w:val="00EC5243"/>
    <w:rsid w:val="00EF7AA0"/>
    <w:rsid w:val="00F01E13"/>
    <w:rsid w:val="00F042A6"/>
    <w:rsid w:val="00F202FC"/>
    <w:rsid w:val="00F30F9B"/>
    <w:rsid w:val="00F51A78"/>
    <w:rsid w:val="00F57431"/>
    <w:rsid w:val="00FE5F2B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F4E5"/>
  <w15:docId w15:val="{20A6A72B-423B-4DB7-A3E7-FCD86C67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73"/>
    <w:pPr>
      <w:ind w:left="720"/>
      <w:contextualSpacing/>
    </w:pPr>
  </w:style>
  <w:style w:type="table" w:styleId="TableGrid">
    <w:name w:val="Table Grid"/>
    <w:basedOn w:val="TableNormal"/>
    <w:uiPriority w:val="59"/>
    <w:rsid w:val="0091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A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44983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498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43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175"/>
  </w:style>
  <w:style w:type="paragraph" w:styleId="Footer">
    <w:name w:val="footer"/>
    <w:basedOn w:val="Normal"/>
    <w:link w:val="FooterChar"/>
    <w:uiPriority w:val="99"/>
    <w:unhideWhenUsed/>
    <w:rsid w:val="00C43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175"/>
  </w:style>
  <w:style w:type="character" w:styleId="Hyperlink">
    <w:name w:val="Hyperlink"/>
    <w:basedOn w:val="DefaultParagraphFont"/>
    <w:uiPriority w:val="99"/>
    <w:unhideWhenUsed/>
    <w:rsid w:val="00A83A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7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minal.efiling@minneapolism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5071-31CA-4B98-A199-2C99C041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L Kingery</dc:creator>
  <cp:lastModifiedBy>Jill M Hermanutz</cp:lastModifiedBy>
  <cp:revision>8</cp:revision>
  <cp:lastPrinted>2018-06-28T17:51:00Z</cp:lastPrinted>
  <dcterms:created xsi:type="dcterms:W3CDTF">2018-05-10T15:42:00Z</dcterms:created>
  <dcterms:modified xsi:type="dcterms:W3CDTF">2018-06-28T17:55:00Z</dcterms:modified>
</cp:coreProperties>
</file>